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054B9E71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3446476D" w:rsidR="00270072" w:rsidRPr="00004E12" w:rsidRDefault="00A5367D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A5367D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Servis angiografické linky FD10 </w:t>
            </w:r>
            <w:proofErr w:type="spellStart"/>
            <w:r w:rsidRPr="00A5367D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Allura</w:t>
            </w:r>
            <w:proofErr w:type="spellEnd"/>
            <w:r w:rsidRPr="00A5367D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A5367D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Clarity</w:t>
            </w:r>
            <w:proofErr w:type="spellEnd"/>
            <w:r w:rsidRPr="00A5367D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C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4253"/>
        <w:gridCol w:w="2410"/>
        <w:gridCol w:w="1134"/>
        <w:gridCol w:w="2410"/>
      </w:tblGrid>
      <w:tr w:rsidR="00534003" w:rsidRPr="009F02DC" w14:paraId="224FC8E4" w14:textId="299C3992" w:rsidTr="00A5367D"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14B7CB21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A5367D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62CDF281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r w:rsidR="00A536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 </w:t>
            </w:r>
            <w:r w:rsidR="007A6476">
              <w:rPr>
                <w:rFonts w:ascii="Arial" w:hAnsi="Arial" w:cs="Arial"/>
                <w:b/>
                <w:bCs/>
                <w:sz w:val="18"/>
                <w:szCs w:val="18"/>
              </w:rPr>
              <w:t>let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plnění</w:t>
            </w:r>
          </w:p>
        </w:tc>
      </w:tr>
      <w:tr w:rsidR="00852357" w:rsidRPr="009F02DC" w14:paraId="6753E927" w14:textId="26318768" w:rsidTr="00A5367D">
        <w:tc>
          <w:tcPr>
            <w:tcW w:w="4253" w:type="dxa"/>
            <w:vAlign w:val="center"/>
          </w:tcPr>
          <w:p w14:paraId="69DA974F" w14:textId="5EDD48D5" w:rsidR="00852357" w:rsidRPr="00004E12" w:rsidRDefault="00A5367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Fulls</w:t>
            </w:r>
            <w:r w:rsidRPr="00A5367D">
              <w:rPr>
                <w:rFonts w:ascii="Arial" w:hAnsi="Arial" w:cs="Arial"/>
                <w:sz w:val="18"/>
                <w:szCs w:val="18"/>
              </w:rPr>
              <w:t>ervis</w:t>
            </w:r>
            <w:proofErr w:type="spellEnd"/>
            <w:r w:rsidRPr="00A5367D">
              <w:rPr>
                <w:rFonts w:ascii="Arial" w:hAnsi="Arial" w:cs="Arial"/>
                <w:sz w:val="18"/>
                <w:szCs w:val="18"/>
              </w:rPr>
              <w:t xml:space="preserve"> angiografické linky FD10 </w:t>
            </w:r>
            <w:proofErr w:type="spellStart"/>
            <w:r w:rsidRPr="00A5367D">
              <w:rPr>
                <w:rFonts w:ascii="Arial" w:hAnsi="Arial" w:cs="Arial"/>
                <w:sz w:val="18"/>
                <w:szCs w:val="18"/>
              </w:rPr>
              <w:t>Allura</w:t>
            </w:r>
            <w:proofErr w:type="spellEnd"/>
            <w:r w:rsidRPr="00A5367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5367D">
              <w:rPr>
                <w:rFonts w:ascii="Arial" w:hAnsi="Arial" w:cs="Arial"/>
                <w:sz w:val="18"/>
                <w:szCs w:val="18"/>
              </w:rPr>
              <w:t>Clarity</w:t>
            </w:r>
            <w:proofErr w:type="spellEnd"/>
            <w:r w:rsidRPr="00A5367D"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134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 w:rsidP="00370815">
    <w:pPr>
      <w:pStyle w:val="Zhlav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1501E5FF" w:rsidR="00A743C5" w:rsidRPr="00532BD0" w:rsidRDefault="00A743C5" w:rsidP="00A743C5">
    <w:pPr>
      <w:pStyle w:val="Zhlav"/>
      <w:jc w:val="right"/>
    </w:pPr>
    <w:r>
      <w:tab/>
    </w:r>
    <w:r>
      <w:tab/>
    </w:r>
    <w:r w:rsidR="00370815">
      <w:t>Příloha č. 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70815"/>
    <w:rsid w:val="0039616F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05E0D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A6476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8E6B21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5367D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96540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B66FF56-BAA1-4421-BF64-72E14A119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3A1B3-7642-445F-99D5-2B9B4F768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AB76E-A534-45EC-A5AC-7C093C5F057B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10</cp:revision>
  <dcterms:created xsi:type="dcterms:W3CDTF">2023-04-21T07:58:00Z</dcterms:created>
  <dcterms:modified xsi:type="dcterms:W3CDTF">2025-10-22T09:22:00Z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